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E4" w:rsidRDefault="009E26E4" w:rsidP="009E26E4">
      <w:pPr>
        <w:jc w:val="center"/>
        <w:rPr>
          <w:color w:val="FF0000"/>
          <w:sz w:val="48"/>
          <w:szCs w:val="48"/>
        </w:rPr>
      </w:pPr>
      <w:r w:rsidRPr="0033284E">
        <w:rPr>
          <w:color w:val="FF0000"/>
          <w:sz w:val="48"/>
          <w:szCs w:val="48"/>
        </w:rPr>
        <w:t>Compte rendu financier de l’exercice 201</w:t>
      </w:r>
      <w:r w:rsidR="006D63C0">
        <w:rPr>
          <w:color w:val="FF0000"/>
          <w:sz w:val="48"/>
          <w:szCs w:val="48"/>
        </w:rPr>
        <w:t>7</w:t>
      </w:r>
      <w:r w:rsidRPr="0033284E">
        <w:rPr>
          <w:color w:val="FF0000"/>
          <w:sz w:val="48"/>
          <w:szCs w:val="48"/>
        </w:rPr>
        <w:t>-201</w:t>
      </w:r>
      <w:r w:rsidR="006D63C0">
        <w:rPr>
          <w:color w:val="FF0000"/>
          <w:sz w:val="48"/>
          <w:szCs w:val="48"/>
        </w:rPr>
        <w:t>8</w:t>
      </w:r>
      <w:r>
        <w:rPr>
          <w:color w:val="FF0000"/>
          <w:sz w:val="48"/>
          <w:szCs w:val="48"/>
        </w:rPr>
        <w:tab/>
      </w:r>
    </w:p>
    <w:tbl>
      <w:tblPr>
        <w:tblStyle w:val="Grilledutableau"/>
        <w:tblW w:w="11135" w:type="dxa"/>
        <w:tblLook w:val="04A0" w:firstRow="1" w:lastRow="0" w:firstColumn="1" w:lastColumn="0" w:noHBand="0" w:noVBand="1"/>
      </w:tblPr>
      <w:tblGrid>
        <w:gridCol w:w="3475"/>
        <w:gridCol w:w="1960"/>
        <w:gridCol w:w="300"/>
        <w:gridCol w:w="3440"/>
        <w:gridCol w:w="1960"/>
      </w:tblGrid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Répartition des recettes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Répartition des charges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Montant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Dons-Quêtes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5B3C15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6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996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Pèlerinage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CC7C99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7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67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C</w:t>
            </w:r>
            <w:r w:rsidR="005B3C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o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tisations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2 </w:t>
            </w:r>
            <w:r w:rsidR="005B3C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614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Don</w:t>
            </w:r>
            <w:r w:rsidR="00323FA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s  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0 €</w:t>
            </w:r>
          </w:p>
        </w:tc>
      </w:tr>
      <w:tr w:rsidR="002435F5" w:rsidRPr="0033284E" w:rsidTr="002435F5">
        <w:trPr>
          <w:trHeight w:val="402"/>
        </w:trPr>
        <w:tc>
          <w:tcPr>
            <w:tcW w:w="3475" w:type="dxa"/>
            <w:noWrap/>
          </w:tcPr>
          <w:p w:rsidR="002435F5" w:rsidRPr="0033284E" w:rsidRDefault="002435F5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960" w:type="dxa"/>
            <w:noWrap/>
          </w:tcPr>
          <w:p w:rsidR="002435F5" w:rsidRPr="0033284E" w:rsidRDefault="002435F5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0" w:type="dxa"/>
            <w:noWrap/>
          </w:tcPr>
          <w:p w:rsidR="002435F5" w:rsidRPr="0033284E" w:rsidRDefault="002435F5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</w:tcPr>
          <w:p w:rsidR="002435F5" w:rsidRPr="0033284E" w:rsidRDefault="002435F5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Matériel</w:t>
            </w:r>
          </w:p>
        </w:tc>
        <w:tc>
          <w:tcPr>
            <w:tcW w:w="1960" w:type="dxa"/>
            <w:noWrap/>
          </w:tcPr>
          <w:p w:rsidR="002435F5" w:rsidRPr="0033284E" w:rsidRDefault="002435F5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1 607€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Abonnements Echo de la Grotte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5B3C15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370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Journée de l'Amitié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CC7C99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912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Produits financiers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 w:rsidR="005B3C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894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Frais de gestion-Réunions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CC7C99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575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Locations uniformes &amp; ventes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2 </w:t>
            </w:r>
            <w:r w:rsidR="005B3C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205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Coût Echo de la Grotte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proofErr w:type="gramStart"/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1 </w:t>
            </w:r>
            <w:r w:rsidR="00CC7C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704</w:t>
            </w:r>
            <w:proofErr w:type="gramEnd"/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Pèlerinage-Journée de l'amitié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5B3C15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948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Mat-Blouses-Badges-Mat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</w:t>
            </w:r>
            <w:r w:rsidR="00CC7C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962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Divers</w:t>
            </w:r>
            <w:r w:rsidR="008435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+ </w:t>
            </w:r>
            <w:proofErr w:type="spellStart"/>
            <w:r w:rsidR="008435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Bénéf</w:t>
            </w:r>
            <w:proofErr w:type="spellEnd"/>
            <w:r w:rsidR="008435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. Congrès A</w:t>
            </w:r>
            <w:r w:rsidR="009142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PH</w:t>
            </w:r>
            <w:r w:rsidR="008435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F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5B3C15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2 914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Divers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84353B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1 842</w:t>
            </w:r>
            <w:r w:rsidR="009E26E4"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</w:tr>
      <w:tr w:rsidR="009E26E4" w:rsidRPr="0033284E" w:rsidTr="002435F5">
        <w:trPr>
          <w:trHeight w:val="402"/>
        </w:trPr>
        <w:tc>
          <w:tcPr>
            <w:tcW w:w="3475" w:type="dxa"/>
            <w:noWrap/>
            <w:hideMark/>
          </w:tcPr>
          <w:p w:rsidR="009E26E4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Total des recettes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</w:t>
            </w:r>
            <w:r w:rsidR="005B3C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8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 w:rsidR="005B3C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94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1 €</w:t>
            </w:r>
          </w:p>
        </w:tc>
        <w:tc>
          <w:tcPr>
            <w:tcW w:w="30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40" w:type="dxa"/>
            <w:noWrap/>
            <w:hideMark/>
          </w:tcPr>
          <w:p w:rsidR="00DE66C0" w:rsidRPr="0033284E" w:rsidRDefault="009E26E4" w:rsidP="00F7562B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 </w:t>
            </w:r>
            <w:r w:rsidR="00DE66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Total des charges</w:t>
            </w:r>
          </w:p>
        </w:tc>
        <w:tc>
          <w:tcPr>
            <w:tcW w:w="1960" w:type="dxa"/>
            <w:noWrap/>
            <w:hideMark/>
          </w:tcPr>
          <w:p w:rsidR="009E26E4" w:rsidRPr="0033284E" w:rsidRDefault="009E26E4" w:rsidP="00F75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</w:t>
            </w:r>
            <w:r w:rsidR="008435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8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 w:rsidR="008435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569</w:t>
            </w:r>
            <w:r w:rsidRPr="0033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</w:t>
            </w:r>
          </w:p>
        </w:tc>
      </w:tr>
      <w:tr w:rsidR="002435F5" w:rsidRPr="002435F5" w:rsidTr="0084353B">
        <w:trPr>
          <w:trHeight w:val="70"/>
        </w:trPr>
        <w:tc>
          <w:tcPr>
            <w:tcW w:w="11135" w:type="dxa"/>
            <w:gridSpan w:val="5"/>
          </w:tcPr>
          <w:p w:rsidR="002435F5" w:rsidRPr="002435F5" w:rsidRDefault="002435F5" w:rsidP="00C566B5">
            <w:r>
              <w:t xml:space="preserve">                                                                   </w:t>
            </w:r>
          </w:p>
        </w:tc>
      </w:tr>
    </w:tbl>
    <w:p w:rsidR="009E26E4" w:rsidRPr="00602291" w:rsidRDefault="009E26E4">
      <w:pPr>
        <w:rPr>
          <w:b/>
          <w:color w:val="FF0000"/>
        </w:rPr>
      </w:pPr>
      <w:r w:rsidRPr="00602291">
        <w:rPr>
          <w:b/>
          <w:color w:val="FF0000"/>
        </w:rPr>
        <w:t>L’exercice 201</w:t>
      </w:r>
      <w:r w:rsidR="00A90BAC" w:rsidRPr="00602291">
        <w:rPr>
          <w:b/>
          <w:color w:val="FF0000"/>
        </w:rPr>
        <w:t>7</w:t>
      </w:r>
      <w:r w:rsidRPr="00602291">
        <w:rPr>
          <w:b/>
          <w:color w:val="FF0000"/>
        </w:rPr>
        <w:t>-201</w:t>
      </w:r>
      <w:r w:rsidR="00A90BAC" w:rsidRPr="00602291">
        <w:rPr>
          <w:b/>
          <w:color w:val="FF0000"/>
        </w:rPr>
        <w:t>8</w:t>
      </w:r>
      <w:r w:rsidRPr="00602291">
        <w:rPr>
          <w:b/>
          <w:color w:val="FF0000"/>
        </w:rPr>
        <w:t xml:space="preserve"> ressort avec un résultat de trésorerie positif de </w:t>
      </w:r>
      <w:r w:rsidR="00A90BAC" w:rsidRPr="00602291">
        <w:rPr>
          <w:b/>
          <w:color w:val="FF0000"/>
        </w:rPr>
        <w:t>37</w:t>
      </w:r>
      <w:r w:rsidR="00F57781">
        <w:rPr>
          <w:b/>
          <w:color w:val="FF0000"/>
        </w:rPr>
        <w:t>2</w:t>
      </w:r>
      <w:r w:rsidRPr="00602291">
        <w:rPr>
          <w:b/>
          <w:color w:val="FF0000"/>
        </w:rPr>
        <w:t xml:space="preserve"> € pour un total de ressources encaissé</w:t>
      </w:r>
      <w:r w:rsidR="00EB3DAF" w:rsidRPr="00602291">
        <w:rPr>
          <w:b/>
          <w:color w:val="FF0000"/>
        </w:rPr>
        <w:t>es</w:t>
      </w:r>
      <w:r w:rsidRPr="00602291">
        <w:rPr>
          <w:b/>
          <w:color w:val="FF0000"/>
        </w:rPr>
        <w:t xml:space="preserve"> de 1</w:t>
      </w:r>
      <w:r w:rsidR="00A90BAC" w:rsidRPr="00602291">
        <w:rPr>
          <w:b/>
          <w:color w:val="FF0000"/>
        </w:rPr>
        <w:t>8 94</w:t>
      </w:r>
      <w:r w:rsidR="00605258">
        <w:rPr>
          <w:b/>
          <w:color w:val="FF0000"/>
        </w:rPr>
        <w:t>1</w:t>
      </w:r>
      <w:r w:rsidRPr="00602291">
        <w:rPr>
          <w:b/>
          <w:color w:val="FF0000"/>
        </w:rPr>
        <w:t xml:space="preserve"> € </w:t>
      </w:r>
      <w:r w:rsidR="001744B5">
        <w:rPr>
          <w:b/>
          <w:color w:val="FF0000"/>
        </w:rPr>
        <w:t>(en augmentation de</w:t>
      </w:r>
      <w:r w:rsidRPr="00602291">
        <w:rPr>
          <w:b/>
          <w:color w:val="FF0000"/>
        </w:rPr>
        <w:t xml:space="preserve"> </w:t>
      </w:r>
      <w:r w:rsidR="00A90BAC" w:rsidRPr="00602291">
        <w:rPr>
          <w:b/>
          <w:color w:val="FF0000"/>
        </w:rPr>
        <w:t>3 2</w:t>
      </w:r>
      <w:r w:rsidR="00605258">
        <w:rPr>
          <w:b/>
          <w:color w:val="FF0000"/>
        </w:rPr>
        <w:t>90</w:t>
      </w:r>
      <w:r w:rsidRPr="00602291">
        <w:rPr>
          <w:b/>
          <w:color w:val="FF0000"/>
        </w:rPr>
        <w:t xml:space="preserve"> € par rapport à l’exercice </w:t>
      </w:r>
      <w:r w:rsidR="00DE66C0" w:rsidRPr="00602291">
        <w:rPr>
          <w:b/>
          <w:color w:val="FF0000"/>
        </w:rPr>
        <w:t>p</w:t>
      </w:r>
      <w:r w:rsidRPr="00602291">
        <w:rPr>
          <w:b/>
          <w:color w:val="FF0000"/>
        </w:rPr>
        <w:t>récédent</w:t>
      </w:r>
      <w:r w:rsidR="001744B5">
        <w:rPr>
          <w:b/>
          <w:color w:val="FF0000"/>
        </w:rPr>
        <w:t>)</w:t>
      </w:r>
      <w:r w:rsidRPr="00602291">
        <w:rPr>
          <w:b/>
          <w:color w:val="FF0000"/>
        </w:rPr>
        <w:t xml:space="preserve">, </w:t>
      </w:r>
      <w:proofErr w:type="gramStart"/>
      <w:r w:rsidRPr="00602291">
        <w:rPr>
          <w:b/>
          <w:color w:val="FF0000"/>
        </w:rPr>
        <w:t>et  un</w:t>
      </w:r>
      <w:proofErr w:type="gramEnd"/>
      <w:r w:rsidRPr="00602291">
        <w:rPr>
          <w:b/>
          <w:color w:val="FF0000"/>
        </w:rPr>
        <w:t xml:space="preserve"> total de dépenses de 1</w:t>
      </w:r>
      <w:r w:rsidR="00A90BAC" w:rsidRPr="00602291">
        <w:rPr>
          <w:b/>
          <w:color w:val="FF0000"/>
        </w:rPr>
        <w:t>8 56</w:t>
      </w:r>
      <w:r w:rsidR="002A5115" w:rsidRPr="00602291">
        <w:rPr>
          <w:b/>
          <w:color w:val="FF0000"/>
        </w:rPr>
        <w:t>9</w:t>
      </w:r>
      <w:r w:rsidRPr="00602291">
        <w:rPr>
          <w:b/>
          <w:color w:val="FF0000"/>
        </w:rPr>
        <w:t xml:space="preserve"> €</w:t>
      </w:r>
      <w:r w:rsidR="001744B5">
        <w:rPr>
          <w:b/>
          <w:color w:val="FF0000"/>
        </w:rPr>
        <w:t xml:space="preserve"> (</w:t>
      </w:r>
      <w:r w:rsidR="00DE66C0" w:rsidRPr="00602291">
        <w:rPr>
          <w:b/>
          <w:color w:val="FF0000"/>
        </w:rPr>
        <w:t xml:space="preserve"> en </w:t>
      </w:r>
      <w:r w:rsidR="00A90BAC" w:rsidRPr="00602291">
        <w:rPr>
          <w:b/>
          <w:color w:val="FF0000"/>
        </w:rPr>
        <w:t>progression</w:t>
      </w:r>
      <w:r w:rsidR="00DE66C0" w:rsidRPr="00602291">
        <w:rPr>
          <w:b/>
          <w:color w:val="FF0000"/>
        </w:rPr>
        <w:t xml:space="preserve"> de </w:t>
      </w:r>
      <w:r w:rsidR="00A90BAC" w:rsidRPr="00602291">
        <w:rPr>
          <w:b/>
          <w:color w:val="FF0000"/>
        </w:rPr>
        <w:t>4 5</w:t>
      </w:r>
      <w:r w:rsidR="002A5115" w:rsidRPr="00602291">
        <w:rPr>
          <w:b/>
          <w:color w:val="FF0000"/>
        </w:rPr>
        <w:t>50</w:t>
      </w:r>
      <w:r w:rsidR="00DE66C0" w:rsidRPr="00602291">
        <w:rPr>
          <w:b/>
          <w:color w:val="FF0000"/>
        </w:rPr>
        <w:t xml:space="preserve"> €</w:t>
      </w:r>
      <w:r w:rsidR="001744B5">
        <w:rPr>
          <w:b/>
          <w:color w:val="FF0000"/>
        </w:rPr>
        <w:t>)</w:t>
      </w:r>
      <w:r w:rsidR="00DE66C0" w:rsidRPr="00602291">
        <w:rPr>
          <w:b/>
          <w:color w:val="FF0000"/>
        </w:rPr>
        <w:t>.</w:t>
      </w:r>
    </w:p>
    <w:p w:rsidR="00DE66C0" w:rsidRPr="001744B5" w:rsidRDefault="00DE66C0">
      <w:pPr>
        <w:rPr>
          <w:color w:val="FF0000"/>
          <w:u w:val="single"/>
        </w:rPr>
      </w:pPr>
      <w:r w:rsidRPr="001744B5">
        <w:rPr>
          <w:color w:val="FF0000"/>
          <w:u w:val="single"/>
        </w:rPr>
        <w:t>Ressources :</w:t>
      </w:r>
    </w:p>
    <w:p w:rsidR="00DE66C0" w:rsidRDefault="00DE66C0" w:rsidP="00DE66C0">
      <w:pPr>
        <w:pStyle w:val="Paragraphedeliste"/>
        <w:numPr>
          <w:ilvl w:val="0"/>
          <w:numId w:val="1"/>
        </w:numPr>
      </w:pPr>
      <w:r w:rsidRPr="002C724B">
        <w:rPr>
          <w:b/>
        </w:rPr>
        <w:t> </w:t>
      </w:r>
      <w:r w:rsidR="00614DD3">
        <w:rPr>
          <w:b/>
        </w:rPr>
        <w:t>C</w:t>
      </w:r>
      <w:r w:rsidRPr="002C724B">
        <w:rPr>
          <w:b/>
        </w:rPr>
        <w:t>otisations</w:t>
      </w:r>
      <w:r>
        <w:t> : 1</w:t>
      </w:r>
      <w:r w:rsidR="00B818FA">
        <w:t>87</w:t>
      </w:r>
      <w:r>
        <w:t xml:space="preserve"> cotisations individuelles </w:t>
      </w:r>
      <w:r w:rsidR="00B818FA">
        <w:t>plus</w:t>
      </w:r>
      <w:r>
        <w:t xml:space="preserve"> </w:t>
      </w:r>
      <w:r w:rsidR="00B818FA">
        <w:t>31</w:t>
      </w:r>
      <w:r>
        <w:t xml:space="preserve"> familiales ont été en</w:t>
      </w:r>
      <w:r w:rsidR="003E3834">
        <w:t>registrées</w:t>
      </w:r>
      <w:r>
        <w:t xml:space="preserve"> contre 1</w:t>
      </w:r>
      <w:r w:rsidR="00B818FA">
        <w:t>70</w:t>
      </w:r>
      <w:r>
        <w:t xml:space="preserve"> individuelles et </w:t>
      </w:r>
      <w:r w:rsidR="00B818FA">
        <w:t>18</w:t>
      </w:r>
      <w:r>
        <w:t xml:space="preserve"> familiales en 201</w:t>
      </w:r>
      <w:r w:rsidR="00B818FA">
        <w:t>7</w:t>
      </w:r>
      <w:r>
        <w:t>.</w:t>
      </w:r>
    </w:p>
    <w:p w:rsidR="00DE66C0" w:rsidRPr="00DE66C0" w:rsidRDefault="00DE66C0" w:rsidP="00DE66C0">
      <w:pPr>
        <w:pStyle w:val="Paragraphedeliste"/>
        <w:numPr>
          <w:ilvl w:val="0"/>
          <w:numId w:val="1"/>
        </w:numPr>
      </w:pPr>
      <w:r w:rsidRPr="002C724B">
        <w:rPr>
          <w:b/>
        </w:rPr>
        <w:t xml:space="preserve"> Dons &amp; </w:t>
      </w:r>
      <w:r w:rsidR="001744B5" w:rsidRPr="002C724B">
        <w:rPr>
          <w:b/>
        </w:rPr>
        <w:t>Quêtes</w:t>
      </w:r>
      <w:r w:rsidR="001744B5">
        <w:rPr>
          <w:b/>
        </w:rPr>
        <w:t xml:space="preserve"> :                    </w:t>
      </w:r>
      <w:r w:rsidR="001744B5" w:rsidRPr="002C724B">
        <w:rPr>
          <w:b/>
        </w:rPr>
        <w:t> </w:t>
      </w:r>
      <w:r w:rsidR="001744B5" w:rsidRPr="004045D8">
        <w:t>2018</w:t>
      </w:r>
      <w:r w:rsidRPr="004045D8">
        <w:t> :</w:t>
      </w:r>
      <w:r w:rsidR="001744B5">
        <w:t xml:space="preserve"> </w:t>
      </w:r>
      <w:r w:rsidRPr="004045D8">
        <w:t xml:space="preserve"> </w:t>
      </w:r>
      <w:r w:rsidR="00B818FA">
        <w:t>6</w:t>
      </w:r>
      <w:r w:rsidR="001744B5">
        <w:t> </w:t>
      </w:r>
      <w:r w:rsidR="00B818FA">
        <w:t>996</w:t>
      </w:r>
      <w:r w:rsidR="001744B5">
        <w:t xml:space="preserve"> </w:t>
      </w:r>
      <w:r w:rsidRPr="004045D8">
        <w:t>€</w:t>
      </w:r>
      <w:r>
        <w:t xml:space="preserve"> ; </w:t>
      </w:r>
      <w:r w:rsidR="00F57781">
        <w:t xml:space="preserve">    </w:t>
      </w:r>
      <w:r>
        <w:t xml:space="preserve"> </w:t>
      </w:r>
      <w:r w:rsidR="001744B5">
        <w:t xml:space="preserve"> </w:t>
      </w:r>
      <w:r>
        <w:t xml:space="preserve"> 201</w:t>
      </w:r>
      <w:r w:rsidR="00B818FA">
        <w:t>7</w:t>
      </w:r>
      <w:r>
        <w:t> : 7</w:t>
      </w:r>
      <w:r w:rsidR="001744B5">
        <w:t> </w:t>
      </w:r>
      <w:r w:rsidR="00B818FA">
        <w:t>479</w:t>
      </w:r>
      <w:r w:rsidR="001744B5">
        <w:t xml:space="preserve"> </w:t>
      </w:r>
      <w:r w:rsidRPr="00DE66C0">
        <w:t>€</w:t>
      </w:r>
      <w:r>
        <w:t xml:space="preserve"> ; </w:t>
      </w:r>
      <w:r w:rsidRPr="00DE66C0">
        <w:t xml:space="preserve"> </w:t>
      </w:r>
      <w:r w:rsidR="00F57781">
        <w:t xml:space="preserve">    </w:t>
      </w:r>
      <w:r w:rsidR="00DD4130">
        <w:t xml:space="preserve"> </w:t>
      </w:r>
      <w:r w:rsidRPr="00DE66C0">
        <w:t>201</w:t>
      </w:r>
      <w:r w:rsidR="00B818FA">
        <w:t>6</w:t>
      </w:r>
      <w:r w:rsidRPr="00DE66C0">
        <w:t> :</w:t>
      </w:r>
      <w:r>
        <w:t xml:space="preserve"> 7 </w:t>
      </w:r>
      <w:r w:rsidR="00B818FA">
        <w:t>31</w:t>
      </w:r>
      <w:r>
        <w:t xml:space="preserve">1 </w:t>
      </w:r>
      <w:r w:rsidRPr="00DE66C0">
        <w:t>€</w:t>
      </w:r>
    </w:p>
    <w:p w:rsidR="00DE66C0" w:rsidRDefault="003D7E1A" w:rsidP="00DE66C0">
      <w:pPr>
        <w:pStyle w:val="Paragraphedeliste"/>
        <w:numPr>
          <w:ilvl w:val="0"/>
          <w:numId w:val="2"/>
        </w:numPr>
      </w:pPr>
      <w:proofErr w:type="gramStart"/>
      <w:r w:rsidRPr="001744B5">
        <w:t>dont</w:t>
      </w:r>
      <w:proofErr w:type="gramEnd"/>
      <w:r w:rsidRPr="001744B5">
        <w:t xml:space="preserve"> D</w:t>
      </w:r>
      <w:r w:rsidR="00DE66C0" w:rsidRPr="001744B5">
        <w:t>ons</w:t>
      </w:r>
      <w:r w:rsidR="00DE66C0" w:rsidRPr="00C502FC">
        <w:rPr>
          <w:b/>
        </w:rPr>
        <w:t> </w:t>
      </w:r>
      <w:r w:rsidR="00DE66C0">
        <w:t>:</w:t>
      </w:r>
      <w:r w:rsidR="00F57781">
        <w:t xml:space="preserve">        </w:t>
      </w:r>
      <w:r w:rsidR="00DE66C0">
        <w:t xml:space="preserve"> 201</w:t>
      </w:r>
      <w:r w:rsidR="00B818FA">
        <w:t>8</w:t>
      </w:r>
      <w:r w:rsidR="00DE66C0">
        <w:t> :</w:t>
      </w:r>
      <w:r w:rsidR="001744B5">
        <w:t xml:space="preserve">  </w:t>
      </w:r>
      <w:r w:rsidR="00DE66C0">
        <w:t xml:space="preserve"> </w:t>
      </w:r>
      <w:r w:rsidR="0077066A">
        <w:t>3</w:t>
      </w:r>
      <w:r w:rsidR="001744B5">
        <w:t> </w:t>
      </w:r>
      <w:r w:rsidR="0077066A">
        <w:t>751</w:t>
      </w:r>
      <w:r w:rsidR="001744B5">
        <w:t xml:space="preserve"> </w:t>
      </w:r>
      <w:r w:rsidR="00DE66C0">
        <w:t xml:space="preserve">€ ;  </w:t>
      </w:r>
      <w:r w:rsidR="00F57781">
        <w:t xml:space="preserve">   </w:t>
      </w:r>
      <w:r w:rsidR="001744B5">
        <w:t xml:space="preserve"> </w:t>
      </w:r>
      <w:r w:rsidR="00F57781">
        <w:t xml:space="preserve"> </w:t>
      </w:r>
      <w:r w:rsidR="00DE66C0">
        <w:t xml:space="preserve"> 201</w:t>
      </w:r>
      <w:r w:rsidR="00B818FA">
        <w:t>7</w:t>
      </w:r>
      <w:r w:rsidR="00DE66C0">
        <w:t> :</w:t>
      </w:r>
      <w:r w:rsidR="00DD4130">
        <w:t xml:space="preserve"> </w:t>
      </w:r>
      <w:r w:rsidR="0077066A">
        <w:t>2</w:t>
      </w:r>
      <w:r w:rsidR="00DD4130">
        <w:t> </w:t>
      </w:r>
      <w:r w:rsidR="0077066A">
        <w:t>645</w:t>
      </w:r>
      <w:r w:rsidR="00DD4130">
        <w:t xml:space="preserve"> </w:t>
      </w:r>
      <w:r w:rsidR="00DE66C0">
        <w:t xml:space="preserve">€ ; </w:t>
      </w:r>
      <w:r w:rsidR="00F57781">
        <w:t xml:space="preserve">   </w:t>
      </w:r>
      <w:r w:rsidR="001744B5">
        <w:t xml:space="preserve"> </w:t>
      </w:r>
      <w:r w:rsidR="00DE66C0">
        <w:t xml:space="preserve">  201</w:t>
      </w:r>
      <w:r w:rsidR="00B818FA">
        <w:t>6</w:t>
      </w:r>
      <w:r w:rsidR="00DE66C0">
        <w:t xml:space="preserve"> : </w:t>
      </w:r>
      <w:r w:rsidR="0077066A">
        <w:t>3</w:t>
      </w:r>
      <w:r w:rsidR="001744B5">
        <w:t> </w:t>
      </w:r>
      <w:r w:rsidR="0077066A">
        <w:t>846</w:t>
      </w:r>
      <w:r w:rsidR="001744B5">
        <w:t xml:space="preserve"> </w:t>
      </w:r>
      <w:r w:rsidR="00DE66C0">
        <w:t>€</w:t>
      </w:r>
    </w:p>
    <w:p w:rsidR="00DE66C0" w:rsidRPr="00F57781" w:rsidRDefault="003D7E1A" w:rsidP="00DD4130">
      <w:pPr>
        <w:pStyle w:val="Paragraphedeliste"/>
        <w:numPr>
          <w:ilvl w:val="0"/>
          <w:numId w:val="2"/>
        </w:numPr>
        <w:rPr>
          <w:color w:val="FF0000"/>
        </w:rPr>
      </w:pPr>
      <w:proofErr w:type="gramStart"/>
      <w:r w:rsidRPr="001744B5">
        <w:t>dont</w:t>
      </w:r>
      <w:proofErr w:type="gramEnd"/>
      <w:r w:rsidRPr="001744B5">
        <w:t xml:space="preserve"> q</w:t>
      </w:r>
      <w:r w:rsidR="00DE66C0" w:rsidRPr="001744B5">
        <w:t>uêtes</w:t>
      </w:r>
      <w:r w:rsidR="00DE66C0" w:rsidRPr="00C502FC">
        <w:rPr>
          <w:b/>
        </w:rPr>
        <w:t> </w:t>
      </w:r>
      <w:r w:rsidR="00DE66C0" w:rsidRPr="00DD4130">
        <w:t>:</w:t>
      </w:r>
      <w:r w:rsidR="00F57781">
        <w:t xml:space="preserve">    </w:t>
      </w:r>
      <w:r w:rsidR="00DE66C0" w:rsidRPr="00DD4130">
        <w:t xml:space="preserve">  201</w:t>
      </w:r>
      <w:r w:rsidR="0077066A">
        <w:t>8</w:t>
      </w:r>
      <w:r w:rsidR="00DE66C0" w:rsidRPr="00DD4130">
        <w:t> :</w:t>
      </w:r>
      <w:r w:rsidR="001744B5">
        <w:t xml:space="preserve"> </w:t>
      </w:r>
      <w:r w:rsidR="00DE66C0" w:rsidRPr="00DD4130">
        <w:t xml:space="preserve"> </w:t>
      </w:r>
      <w:r w:rsidR="0077066A" w:rsidRPr="00F57781">
        <w:rPr>
          <w:color w:val="FF0000"/>
        </w:rPr>
        <w:t>3 245</w:t>
      </w:r>
      <w:r w:rsidR="00DD4130" w:rsidRPr="00F57781">
        <w:rPr>
          <w:color w:val="FF0000"/>
        </w:rPr>
        <w:t xml:space="preserve"> € </w:t>
      </w:r>
      <w:r w:rsidR="00DE66C0" w:rsidRPr="00F57781">
        <w:rPr>
          <w:color w:val="FF0000"/>
        </w:rPr>
        <w:t xml:space="preserve">pour </w:t>
      </w:r>
      <w:r w:rsidR="002A5115" w:rsidRPr="00F57781">
        <w:rPr>
          <w:color w:val="FF0000"/>
        </w:rPr>
        <w:t>5</w:t>
      </w:r>
      <w:r w:rsidR="00DE66C0" w:rsidRPr="00F57781">
        <w:rPr>
          <w:color w:val="FF0000"/>
        </w:rPr>
        <w:t xml:space="preserve"> quêtes</w:t>
      </w:r>
      <w:r w:rsidR="00DE66C0" w:rsidRPr="00DD4130">
        <w:t xml:space="preserve">; </w:t>
      </w:r>
      <w:r w:rsidR="00F57781">
        <w:t xml:space="preserve">    </w:t>
      </w:r>
      <w:r w:rsidR="00DE66C0" w:rsidRPr="00DD4130">
        <w:t>201</w:t>
      </w:r>
      <w:r w:rsidR="0077066A">
        <w:t>7</w:t>
      </w:r>
      <w:r w:rsidR="00DE66C0" w:rsidRPr="00DD4130">
        <w:t xml:space="preserve"> :  </w:t>
      </w:r>
      <w:r w:rsidR="0077066A">
        <w:t>4 834</w:t>
      </w:r>
      <w:r w:rsidR="00DD4130">
        <w:t xml:space="preserve"> </w:t>
      </w:r>
      <w:r w:rsidR="00DE66C0" w:rsidRPr="00DD4130">
        <w:t xml:space="preserve">€, pour </w:t>
      </w:r>
      <w:r w:rsidR="00DD4130">
        <w:t>8</w:t>
      </w:r>
      <w:r w:rsidR="00DE66C0" w:rsidRPr="00DD4130">
        <w:t xml:space="preserve"> quêtes ; </w:t>
      </w:r>
      <w:r w:rsidR="00F57781">
        <w:t xml:space="preserve">    </w:t>
      </w:r>
      <w:r w:rsidR="00DE66C0" w:rsidRPr="00DD4130">
        <w:t>201</w:t>
      </w:r>
      <w:r w:rsidR="0077066A">
        <w:t>6</w:t>
      </w:r>
      <w:r w:rsidR="00DE66C0" w:rsidRPr="00DD4130">
        <w:t xml:space="preserve"> : </w:t>
      </w:r>
      <w:r w:rsidR="0077066A">
        <w:t>3 465</w:t>
      </w:r>
      <w:r w:rsidR="00DD4130">
        <w:t xml:space="preserve"> </w:t>
      </w:r>
      <w:r w:rsidR="00DE66C0" w:rsidRPr="00DD4130">
        <w:t xml:space="preserve">€, pour </w:t>
      </w:r>
      <w:r w:rsidR="0077066A">
        <w:t>8</w:t>
      </w:r>
      <w:r w:rsidR="00DE66C0" w:rsidRPr="00DD4130">
        <w:t xml:space="preserve"> quêtes</w:t>
      </w:r>
      <w:r w:rsidR="00F57781">
        <w:t xml:space="preserve">   </w:t>
      </w:r>
      <w:r w:rsidR="00DD4130">
        <w:t xml:space="preserve"> </w:t>
      </w:r>
      <w:r w:rsidR="00DD4130" w:rsidRPr="00F57781">
        <w:rPr>
          <w:color w:val="FF0000"/>
        </w:rPr>
        <w:t>mais 7 717 € pour 23 quêtes en 2014.</w:t>
      </w:r>
    </w:p>
    <w:p w:rsidR="00DE66C0" w:rsidRDefault="00614DD3" w:rsidP="00DE66C0">
      <w:pPr>
        <w:pStyle w:val="Paragraphedeliste"/>
        <w:numPr>
          <w:ilvl w:val="0"/>
          <w:numId w:val="1"/>
        </w:numPr>
      </w:pPr>
      <w:r>
        <w:rPr>
          <w:b/>
        </w:rPr>
        <w:t>L</w:t>
      </w:r>
      <w:r w:rsidR="00DE66C0" w:rsidRPr="002C724B">
        <w:rPr>
          <w:b/>
        </w:rPr>
        <w:t>ocation d’uniformes </w:t>
      </w:r>
      <w:r w:rsidR="00052D2A">
        <w:t>;</w:t>
      </w:r>
      <w:r w:rsidR="001744B5">
        <w:t xml:space="preserve">         </w:t>
      </w:r>
      <w:r w:rsidR="000C6B04">
        <w:t xml:space="preserve"> </w:t>
      </w:r>
      <w:r w:rsidR="00DD4130">
        <w:t>201</w:t>
      </w:r>
      <w:r w:rsidR="0077066A">
        <w:t>8</w:t>
      </w:r>
      <w:r w:rsidR="00DD4130">
        <w:t> : 2 </w:t>
      </w:r>
      <w:r w:rsidR="0077066A">
        <w:t>205</w:t>
      </w:r>
      <w:r w:rsidR="00DD4130">
        <w:t xml:space="preserve"> € ;</w:t>
      </w:r>
      <w:r w:rsidR="00F57781">
        <w:t xml:space="preserve">   </w:t>
      </w:r>
      <w:r w:rsidR="001744B5">
        <w:t xml:space="preserve">  </w:t>
      </w:r>
      <w:r w:rsidR="00F57781">
        <w:t xml:space="preserve"> </w:t>
      </w:r>
      <w:r w:rsidR="00DD4130">
        <w:t xml:space="preserve">  </w:t>
      </w:r>
      <w:r w:rsidR="00DE66C0">
        <w:t xml:space="preserve"> 2</w:t>
      </w:r>
      <w:r w:rsidR="0077066A">
        <w:t xml:space="preserve"> 017</w:t>
      </w:r>
      <w:r w:rsidR="00DE66C0">
        <w:t> : 2</w:t>
      </w:r>
      <w:r w:rsidR="00DD4130">
        <w:t> </w:t>
      </w:r>
      <w:r w:rsidR="0077066A">
        <w:t>072</w:t>
      </w:r>
      <w:r w:rsidR="00DD4130">
        <w:t xml:space="preserve"> </w:t>
      </w:r>
      <w:r w:rsidR="00DE66C0">
        <w:t>€ ;</w:t>
      </w:r>
      <w:r w:rsidR="00F57781">
        <w:t xml:space="preserve">    </w:t>
      </w:r>
      <w:r w:rsidR="001744B5">
        <w:t xml:space="preserve">  </w:t>
      </w:r>
      <w:r w:rsidR="00DE66C0">
        <w:t xml:space="preserve"> 201</w:t>
      </w:r>
      <w:r w:rsidR="0077066A">
        <w:t>6</w:t>
      </w:r>
      <w:r w:rsidR="00DE66C0">
        <w:t> :</w:t>
      </w:r>
      <w:r w:rsidR="000C6B04">
        <w:t xml:space="preserve"> </w:t>
      </w:r>
      <w:r w:rsidR="00DE66C0">
        <w:t>2 </w:t>
      </w:r>
      <w:r w:rsidR="0077066A">
        <w:t>574</w:t>
      </w:r>
      <w:r w:rsidR="00DD4130">
        <w:t xml:space="preserve"> €.</w:t>
      </w:r>
    </w:p>
    <w:p w:rsidR="00DE66C0" w:rsidRPr="0057131C" w:rsidRDefault="00DE66C0" w:rsidP="00DE66C0">
      <w:pPr>
        <w:rPr>
          <w:color w:val="FF0000"/>
          <w:u w:val="single"/>
        </w:rPr>
      </w:pPr>
      <w:r w:rsidRPr="0057131C">
        <w:rPr>
          <w:color w:val="FF0000"/>
          <w:u w:val="single"/>
        </w:rPr>
        <w:t>Charges :</w:t>
      </w:r>
    </w:p>
    <w:p w:rsidR="00DE66C0" w:rsidRDefault="00DE66C0" w:rsidP="00DE66C0">
      <w:r w:rsidRPr="00F832E8">
        <w:t xml:space="preserve">La </w:t>
      </w:r>
      <w:r w:rsidR="0077066A">
        <w:t>progression</w:t>
      </w:r>
      <w:r>
        <w:t xml:space="preserve"> des charges </w:t>
      </w:r>
      <w:r w:rsidR="001744B5">
        <w:t>découl</w:t>
      </w:r>
      <w:r>
        <w:t>e</w:t>
      </w:r>
      <w:r w:rsidR="001744B5">
        <w:t xml:space="preserve"> </w:t>
      </w:r>
      <w:r>
        <w:t xml:space="preserve">principalement des postes ci-dessous : </w:t>
      </w:r>
    </w:p>
    <w:p w:rsidR="00DE66C0" w:rsidRDefault="00052D2A" w:rsidP="00DE66C0">
      <w:pPr>
        <w:pStyle w:val="Paragraphedeliste"/>
        <w:numPr>
          <w:ilvl w:val="0"/>
          <w:numId w:val="1"/>
        </w:numPr>
      </w:pPr>
      <w:r w:rsidRPr="00614DD3">
        <w:rPr>
          <w:b/>
        </w:rPr>
        <w:t>Pèlerinage</w:t>
      </w:r>
      <w:r w:rsidR="00DE66C0" w:rsidRPr="00614DD3">
        <w:rPr>
          <w:b/>
        </w:rPr>
        <w:t> </w:t>
      </w:r>
      <w:r w:rsidR="00DE66C0">
        <w:t xml:space="preserve">: </w:t>
      </w:r>
      <w:r>
        <w:t>7 867</w:t>
      </w:r>
      <w:r w:rsidR="00323FAC">
        <w:t xml:space="preserve"> </w:t>
      </w:r>
      <w:r w:rsidR="00DE66C0">
        <w:t xml:space="preserve">€ contre </w:t>
      </w:r>
      <w:r>
        <w:t>6 854</w:t>
      </w:r>
      <w:r w:rsidR="00DD4130">
        <w:t xml:space="preserve"> </w:t>
      </w:r>
      <w:r w:rsidR="00DE66C0">
        <w:t>€ en 201</w:t>
      </w:r>
      <w:r>
        <w:t xml:space="preserve">7 </w:t>
      </w:r>
    </w:p>
    <w:p w:rsidR="00DE66C0" w:rsidRDefault="00052D2A" w:rsidP="00DE66C0">
      <w:pPr>
        <w:pStyle w:val="Paragraphedeliste"/>
        <w:numPr>
          <w:ilvl w:val="0"/>
          <w:numId w:val="1"/>
        </w:numPr>
      </w:pPr>
      <w:r w:rsidRPr="00614DD3">
        <w:rPr>
          <w:b/>
        </w:rPr>
        <w:t>Matériel</w:t>
      </w:r>
      <w:r w:rsidR="00DE66C0">
        <w:t xml:space="preserve"> :  </w:t>
      </w:r>
      <w:r>
        <w:t>1 607</w:t>
      </w:r>
      <w:r w:rsidR="00323FAC">
        <w:t xml:space="preserve"> </w:t>
      </w:r>
      <w:r w:rsidR="00DE66C0">
        <w:t xml:space="preserve">€ </w:t>
      </w:r>
      <w:r>
        <w:t xml:space="preserve">(achat d’équipements médicaux et d’un ordinateur pour </w:t>
      </w:r>
      <w:r w:rsidR="00F57781">
        <w:t>no</w:t>
      </w:r>
      <w:r>
        <w:t xml:space="preserve">s médecins) </w:t>
      </w:r>
      <w:r w:rsidR="00DE66C0">
        <w:t xml:space="preserve">contre </w:t>
      </w:r>
      <w:r>
        <w:t>0</w:t>
      </w:r>
      <w:r w:rsidR="00DD4130">
        <w:t xml:space="preserve"> </w:t>
      </w:r>
      <w:r w:rsidR="00DE66C0">
        <w:t>€</w:t>
      </w:r>
      <w:r w:rsidR="001F0A89">
        <w:t>.</w:t>
      </w:r>
    </w:p>
    <w:p w:rsidR="009142C6" w:rsidRDefault="009142C6" w:rsidP="00DE66C0">
      <w:pPr>
        <w:pStyle w:val="Paragraphedeliste"/>
        <w:numPr>
          <w:ilvl w:val="0"/>
          <w:numId w:val="1"/>
        </w:numPr>
      </w:pPr>
      <w:r w:rsidRPr="00614DD3">
        <w:rPr>
          <w:b/>
        </w:rPr>
        <w:t>Divers </w:t>
      </w:r>
      <w:r>
        <w:t>: 1 842€ dont 1</w:t>
      </w:r>
      <w:r w:rsidR="001744B5">
        <w:t> </w:t>
      </w:r>
      <w:r>
        <w:t>022</w:t>
      </w:r>
      <w:r w:rsidR="001744B5">
        <w:t xml:space="preserve"> </w:t>
      </w:r>
      <w:r>
        <w:t>€ d’achat d’objet</w:t>
      </w:r>
      <w:r w:rsidR="00F57781">
        <w:t>s</w:t>
      </w:r>
      <w:r>
        <w:t xml:space="preserve"> divers </w:t>
      </w:r>
      <w:r w:rsidR="00F57781">
        <w:t>dans le but de</w:t>
      </w:r>
      <w:r>
        <w:t xml:space="preserve"> les revendre et améliorer ainsi nos ressources.</w:t>
      </w:r>
    </w:p>
    <w:p w:rsidR="00DE66C0" w:rsidRPr="0057131C" w:rsidRDefault="00DE66C0" w:rsidP="00DE66C0">
      <w:pPr>
        <w:rPr>
          <w:color w:val="FF0000"/>
          <w:u w:val="single"/>
        </w:rPr>
      </w:pPr>
      <w:r w:rsidRPr="0057131C">
        <w:rPr>
          <w:color w:val="FF0000"/>
          <w:u w:val="single"/>
        </w:rPr>
        <w:t>Conclusion :</w:t>
      </w:r>
    </w:p>
    <w:p w:rsidR="00DE66C0" w:rsidRDefault="00DE66C0" w:rsidP="00DE66C0">
      <w:r w:rsidRPr="00C502FC">
        <w:t>L’excédent de trésorerie enregistré</w:t>
      </w:r>
      <w:r w:rsidR="002A5115">
        <w:t xml:space="preserve"> de </w:t>
      </w:r>
      <w:r w:rsidR="001744B5">
        <w:t>372 €</w:t>
      </w:r>
      <w:r w:rsidR="002A5115">
        <w:t xml:space="preserve"> provient du résultat du Congrès des APHF de 2017 de 605</w:t>
      </w:r>
      <w:r w:rsidR="001744B5">
        <w:t xml:space="preserve"> </w:t>
      </w:r>
      <w:r w:rsidR="002A5115">
        <w:t>€, sinon le résultat ressortait négatif</w:t>
      </w:r>
      <w:r w:rsidR="003E3834">
        <w:t>.</w:t>
      </w:r>
    </w:p>
    <w:p w:rsidR="00A227FA" w:rsidRPr="0057131C" w:rsidRDefault="009142C6" w:rsidP="00DE66C0">
      <w:r w:rsidRPr="0057131C">
        <w:rPr>
          <w:b/>
        </w:rPr>
        <w:t>Vous avez remarqué la chute du nombre de quêtes réalisées ; 5 en 2018 contre 23 en 2014</w:t>
      </w:r>
      <w:r w:rsidR="00F57781">
        <w:rPr>
          <w:b/>
        </w:rPr>
        <w:t>. C</w:t>
      </w:r>
      <w:r w:rsidRPr="0057131C">
        <w:rPr>
          <w:b/>
        </w:rPr>
        <w:t>ette ressource étant indispensable pour la vie de l’hospitalité</w:t>
      </w:r>
      <w:r w:rsidRPr="008A06DD">
        <w:rPr>
          <w:b/>
          <w:color w:val="FF0000"/>
        </w:rPr>
        <w:t xml:space="preserve"> nous vous </w:t>
      </w:r>
      <w:r w:rsidR="00A227FA" w:rsidRPr="008A06DD">
        <w:rPr>
          <w:b/>
          <w:color w:val="FF0000"/>
        </w:rPr>
        <w:t>demandons,</w:t>
      </w:r>
      <w:r w:rsidRPr="008A06DD">
        <w:rPr>
          <w:b/>
          <w:color w:val="FF0000"/>
        </w:rPr>
        <w:t xml:space="preserve"> vous Hospitaliers (</w:t>
      </w:r>
      <w:r w:rsidR="00A227FA" w:rsidRPr="008A06DD">
        <w:rPr>
          <w:b/>
          <w:color w:val="FF0000"/>
        </w:rPr>
        <w:t>ères),</w:t>
      </w:r>
      <w:r w:rsidRPr="008A06DD">
        <w:rPr>
          <w:b/>
          <w:color w:val="FF0000"/>
        </w:rPr>
        <w:t xml:space="preserve"> de vous mobiliser et de prendre un peu de temps pour </w:t>
      </w:r>
      <w:r w:rsidR="00A227FA" w:rsidRPr="008A06DD">
        <w:rPr>
          <w:b/>
          <w:color w:val="FF0000"/>
        </w:rPr>
        <w:t>effectuer</w:t>
      </w:r>
      <w:r w:rsidRPr="008A06DD">
        <w:rPr>
          <w:b/>
          <w:color w:val="FF0000"/>
        </w:rPr>
        <w:t xml:space="preserve"> une quête dans votre paroisse. </w:t>
      </w:r>
      <w:r w:rsidR="00A227FA" w:rsidRPr="008A06DD">
        <w:rPr>
          <w:b/>
          <w:color w:val="FF0000"/>
        </w:rPr>
        <w:t xml:space="preserve">Nous </w:t>
      </w:r>
      <w:r w:rsidR="001744B5">
        <w:rPr>
          <w:b/>
          <w:color w:val="FF0000"/>
        </w:rPr>
        <w:t>sollicitons</w:t>
      </w:r>
      <w:r w:rsidR="00A227FA" w:rsidRPr="008A06DD">
        <w:rPr>
          <w:b/>
          <w:color w:val="FF0000"/>
        </w:rPr>
        <w:t xml:space="preserve"> également </w:t>
      </w:r>
      <w:r w:rsidR="001744B5">
        <w:rPr>
          <w:b/>
          <w:color w:val="FF0000"/>
        </w:rPr>
        <w:t>les</w:t>
      </w:r>
      <w:r w:rsidR="00A227FA" w:rsidRPr="008A06DD">
        <w:rPr>
          <w:b/>
          <w:color w:val="FF0000"/>
        </w:rPr>
        <w:t xml:space="preserve"> personnes qui en ont la possibilité d’effectuer un don</w:t>
      </w:r>
      <w:bookmarkStart w:id="0" w:name="_GoBack"/>
      <w:bookmarkEnd w:id="0"/>
      <w:r w:rsidR="00A227FA" w:rsidRPr="008A06DD">
        <w:rPr>
          <w:b/>
          <w:color w:val="FF0000"/>
        </w:rPr>
        <w:t>, ce dont nous les remercions</w:t>
      </w:r>
      <w:r w:rsidR="00A227FA" w:rsidRPr="0057131C">
        <w:rPr>
          <w:b/>
        </w:rPr>
        <w:t>. Nos anciens donateurs disparaissent et ne sont pas remplacés</w:t>
      </w:r>
      <w:r w:rsidR="00A227FA" w:rsidRPr="0057131C">
        <w:t>.</w:t>
      </w:r>
    </w:p>
    <w:p w:rsidR="00DE66C0" w:rsidRPr="006D2E61" w:rsidRDefault="00F57781" w:rsidP="00DE66C0">
      <w:pPr>
        <w:rPr>
          <w:color w:val="002060"/>
        </w:rPr>
      </w:pPr>
      <w:r>
        <w:t xml:space="preserve">Gaël </w:t>
      </w:r>
      <w:r w:rsidR="00DE66C0">
        <w:t xml:space="preserve">Le Conte - notre Président- et Jean </w:t>
      </w:r>
      <w:proofErr w:type="spellStart"/>
      <w:r w:rsidR="00DE66C0">
        <w:t>Trottereau</w:t>
      </w:r>
      <w:proofErr w:type="spellEnd"/>
      <w:r w:rsidR="00DE66C0">
        <w:t xml:space="preserve">  - notre trésorier- , se tiennent à votre disposition pour vous fournir tout renseignement complémentaire sur les chiffres de l’exercice 201</w:t>
      </w:r>
      <w:r w:rsidR="00A227FA">
        <w:t>8</w:t>
      </w:r>
      <w:r w:rsidR="00DE66C0">
        <w:t xml:space="preserve"> </w:t>
      </w:r>
      <w:r w:rsidR="00DE66C0" w:rsidRPr="001F0A89">
        <w:rPr>
          <w:i/>
          <w:sz w:val="24"/>
          <w:szCs w:val="24"/>
          <w:u w:val="single"/>
        </w:rPr>
        <w:t>et si vous le souhaitez, vous conseiller,  pour l’organisation d’une quête</w:t>
      </w:r>
      <w:r w:rsidR="00DE66C0" w:rsidRPr="001F0A89">
        <w:rPr>
          <w:i/>
          <w:sz w:val="24"/>
          <w:szCs w:val="24"/>
        </w:rPr>
        <w:t>.</w:t>
      </w:r>
      <w:r w:rsidR="00DE66C0" w:rsidRPr="001F0A89">
        <w:t xml:space="preserve">  </w:t>
      </w:r>
      <w:r w:rsidR="0057131C">
        <w:t xml:space="preserve">                                        </w:t>
      </w:r>
      <w:r w:rsidR="00DE66C0" w:rsidRPr="001F0A89">
        <w:t xml:space="preserve"> </w:t>
      </w:r>
      <w:r w:rsidR="001F0A89" w:rsidRPr="001F0A89">
        <w:t>Merci à tous</w:t>
      </w:r>
      <w:r w:rsidR="001F0A89">
        <w:rPr>
          <w:color w:val="002060"/>
        </w:rPr>
        <w:t>.</w:t>
      </w:r>
      <w:r w:rsidR="00DE66C0" w:rsidRPr="006D2E61">
        <w:rPr>
          <w:color w:val="002060"/>
        </w:rPr>
        <w:t xml:space="preserve">                           Adresse mail : jean.trottereau@neuf.fr</w:t>
      </w:r>
    </w:p>
    <w:p w:rsidR="00DE66C0" w:rsidRDefault="00DE66C0"/>
    <w:p w:rsidR="00DE66C0" w:rsidRDefault="00DE66C0"/>
    <w:sectPr w:rsidR="00DE66C0" w:rsidSect="003E3834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17B30"/>
    <w:multiLevelType w:val="hybridMultilevel"/>
    <w:tmpl w:val="62966CB8"/>
    <w:lvl w:ilvl="0" w:tplc="1876BBE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BCC1C45"/>
    <w:multiLevelType w:val="hybridMultilevel"/>
    <w:tmpl w:val="DAF477E2"/>
    <w:lvl w:ilvl="0" w:tplc="98D81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E4"/>
    <w:rsid w:val="00052D2A"/>
    <w:rsid w:val="000C6B04"/>
    <w:rsid w:val="001744B5"/>
    <w:rsid w:val="001F0A89"/>
    <w:rsid w:val="002435F5"/>
    <w:rsid w:val="002A5115"/>
    <w:rsid w:val="00323FAC"/>
    <w:rsid w:val="00325949"/>
    <w:rsid w:val="00350BD2"/>
    <w:rsid w:val="003D7E1A"/>
    <w:rsid w:val="003E3834"/>
    <w:rsid w:val="0057131C"/>
    <w:rsid w:val="005B3C15"/>
    <w:rsid w:val="00601626"/>
    <w:rsid w:val="00602291"/>
    <w:rsid w:val="00605258"/>
    <w:rsid w:val="00614DD3"/>
    <w:rsid w:val="00627A2C"/>
    <w:rsid w:val="006810CC"/>
    <w:rsid w:val="006D63C0"/>
    <w:rsid w:val="0077066A"/>
    <w:rsid w:val="0084353B"/>
    <w:rsid w:val="008A06DD"/>
    <w:rsid w:val="009142C6"/>
    <w:rsid w:val="0092429C"/>
    <w:rsid w:val="009E26E4"/>
    <w:rsid w:val="00A227FA"/>
    <w:rsid w:val="00A90BAC"/>
    <w:rsid w:val="00B23E0D"/>
    <w:rsid w:val="00B818FA"/>
    <w:rsid w:val="00CC7C99"/>
    <w:rsid w:val="00DD4130"/>
    <w:rsid w:val="00DE66C0"/>
    <w:rsid w:val="00EB3DAF"/>
    <w:rsid w:val="00F57781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B454"/>
  <w15:chartTrackingRefBased/>
  <w15:docId w15:val="{010B365A-1003-4F71-BB71-9C20512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6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62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4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TROTTEREAU</dc:creator>
  <cp:keywords/>
  <dc:description/>
  <cp:lastModifiedBy>Jean TROTTEREAU</cp:lastModifiedBy>
  <cp:revision>14</cp:revision>
  <cp:lastPrinted>2019-04-03T09:37:00Z</cp:lastPrinted>
  <dcterms:created xsi:type="dcterms:W3CDTF">2019-03-19T15:37:00Z</dcterms:created>
  <dcterms:modified xsi:type="dcterms:W3CDTF">2019-04-19T09:23:00Z</dcterms:modified>
</cp:coreProperties>
</file>